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C7" w:rsidRPr="00FF04F0" w:rsidRDefault="00E174C7" w:rsidP="00FF04F0">
      <w:pPr>
        <w:tabs>
          <w:tab w:val="left" w:pos="2775"/>
        </w:tabs>
        <w:spacing w:line="360" w:lineRule="auto"/>
        <w:jc w:val="both"/>
        <w:rPr>
          <w:szCs w:val="24"/>
        </w:rPr>
      </w:pPr>
    </w:p>
    <w:p w:rsidR="00E174C7" w:rsidRPr="00FF04F0" w:rsidRDefault="00770998" w:rsidP="00770998">
      <w:pPr>
        <w:tabs>
          <w:tab w:val="left" w:pos="2775"/>
        </w:tabs>
        <w:spacing w:line="360" w:lineRule="auto"/>
        <w:jc w:val="center"/>
        <w:rPr>
          <w:szCs w:val="24"/>
        </w:rPr>
      </w:pPr>
      <w:r w:rsidRPr="00FF04F0">
        <w:rPr>
          <w:szCs w:val="24"/>
        </w:rPr>
        <w:t>RESPOSTA AO RECURSO:</w:t>
      </w:r>
    </w:p>
    <w:p w:rsidR="00E174C7" w:rsidRPr="00FF04F0" w:rsidRDefault="00E174C7" w:rsidP="00FF04F0">
      <w:pPr>
        <w:tabs>
          <w:tab w:val="left" w:pos="2775"/>
        </w:tabs>
        <w:spacing w:line="360" w:lineRule="auto"/>
        <w:jc w:val="both"/>
        <w:rPr>
          <w:szCs w:val="24"/>
        </w:rPr>
      </w:pPr>
    </w:p>
    <w:p w:rsidR="00E174C7" w:rsidRPr="00FF04F0" w:rsidRDefault="00FF04F0" w:rsidP="005E2C30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E174C7" w:rsidRPr="00FF04F0">
        <w:rPr>
          <w:szCs w:val="24"/>
        </w:rPr>
        <w:t xml:space="preserve">Verifica-se que </w:t>
      </w:r>
      <w:r w:rsidR="00770998">
        <w:rPr>
          <w:szCs w:val="24"/>
        </w:rPr>
        <w:t>a</w:t>
      </w:r>
      <w:r w:rsidR="00E174C7" w:rsidRPr="00FF04F0">
        <w:rPr>
          <w:szCs w:val="24"/>
        </w:rPr>
        <w:t xml:space="preserve"> ora Recorrente,</w:t>
      </w:r>
      <w:r w:rsidR="00E174C7" w:rsidRPr="00FF04F0">
        <w:rPr>
          <w:szCs w:val="24"/>
        </w:rPr>
        <w:t xml:space="preserve"> </w:t>
      </w:r>
      <w:bookmarkStart w:id="0" w:name="_GoBack"/>
      <w:r w:rsidR="00E174C7" w:rsidRPr="00FF04F0">
        <w:rPr>
          <w:szCs w:val="24"/>
        </w:rPr>
        <w:t xml:space="preserve">HB </w:t>
      </w:r>
      <w:r w:rsidRPr="00FF04F0">
        <w:rPr>
          <w:szCs w:val="24"/>
        </w:rPr>
        <w:t>MULTISERVIÇOS LTDA</w:t>
      </w:r>
      <w:bookmarkEnd w:id="0"/>
      <w:r w:rsidRPr="00FF04F0">
        <w:rPr>
          <w:szCs w:val="24"/>
        </w:rPr>
        <w:t xml:space="preserve">., </w:t>
      </w:r>
      <w:r w:rsidR="00E174C7" w:rsidRPr="00FF04F0">
        <w:rPr>
          <w:szCs w:val="24"/>
        </w:rPr>
        <w:t xml:space="preserve">interpôs recurso de forma tempestiva, na data 18 de novembro de 2019, frente à habilitação da empresa </w:t>
      </w:r>
      <w:r w:rsidRPr="00FF04F0">
        <w:rPr>
          <w:szCs w:val="24"/>
        </w:rPr>
        <w:t xml:space="preserve">ACF DA SILVA LTDA., </w:t>
      </w:r>
      <w:r w:rsidR="00E174C7" w:rsidRPr="00FF04F0">
        <w:rPr>
          <w:szCs w:val="24"/>
        </w:rPr>
        <w:t>no Pregão Eletrônico Nº 009/2019</w:t>
      </w:r>
      <w:r w:rsidR="00E174C7" w:rsidRPr="00FF04F0">
        <w:rPr>
          <w:szCs w:val="24"/>
        </w:rPr>
        <w:t xml:space="preserve"> nos autos do processo em epí</w:t>
      </w:r>
      <w:r w:rsidR="00E174C7" w:rsidRPr="00FF04F0">
        <w:rPr>
          <w:szCs w:val="24"/>
        </w:rPr>
        <w:t>grafe.</w:t>
      </w:r>
    </w:p>
    <w:p w:rsidR="00E174C7" w:rsidRPr="00FF04F0" w:rsidRDefault="00996A1E" w:rsidP="005E2C30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E174C7" w:rsidRPr="00FF04F0">
        <w:rPr>
          <w:szCs w:val="24"/>
        </w:rPr>
        <w:t xml:space="preserve">Cumpre, </w:t>
      </w:r>
      <w:r w:rsidR="00E174C7" w:rsidRPr="00FF04F0">
        <w:rPr>
          <w:szCs w:val="24"/>
        </w:rPr>
        <w:t>entretanto, esclarecer que a ora recorrente, mesmo que obtivesse sucesso em suas razões recursais, deve considerar que realizou cotação de valores, para formação do preço inicial, de R$ 3.022.987,13 (</w:t>
      </w:r>
      <w:r w:rsidR="00770998" w:rsidRPr="00FF04F0">
        <w:rPr>
          <w:szCs w:val="24"/>
        </w:rPr>
        <w:t>três milhões vinte dois mil e novecentos e</w:t>
      </w:r>
      <w:r w:rsidR="00E174C7" w:rsidRPr="00FF04F0">
        <w:rPr>
          <w:szCs w:val="24"/>
        </w:rPr>
        <w:t xml:space="preserve"> oitenta e sete reais e treze centavos).</w:t>
      </w:r>
    </w:p>
    <w:p w:rsidR="00E174C7" w:rsidRPr="00FF04F0" w:rsidRDefault="00FF04F0" w:rsidP="005E2C30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t xml:space="preserve">            </w:t>
      </w:r>
      <w:r w:rsidR="00E174C7" w:rsidRPr="00FF04F0">
        <w:rPr>
          <w:szCs w:val="24"/>
        </w:rPr>
        <w:t xml:space="preserve">Inopinadamente, ao participar do certame, já durante a realização do pregão eletrônico, apresentou como valor inicial R$ 4.794.174,00 (quatro milhões, setecentos e setenta e quatro mil, cento e setenta e quatro reais), valor muito superior ao cotado pelo mesmo. E ainda, verifica-se que seu lance final foi de R$ 3.354.00,00 (três milhões, trezentos e cinquenta e quatro mil reais), valor este também acima do que havia cotado inicialmente. </w:t>
      </w:r>
    </w:p>
    <w:p w:rsidR="00E174C7" w:rsidRPr="00FF04F0" w:rsidRDefault="00FF04F0" w:rsidP="005E2C30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t xml:space="preserve">             </w:t>
      </w:r>
      <w:r w:rsidR="00E174C7" w:rsidRPr="00FF04F0">
        <w:rPr>
          <w:szCs w:val="24"/>
        </w:rPr>
        <w:t>Outra sorte não acode ao recorrente quando apresenta fundamentação legal as suas razões recursais. Isto porque o mesmo deixou de observar a legislação legal aplicada ao caso. Verifica-se, na forma do Edital do Pregão Eletrônico de n</w:t>
      </w:r>
      <w:r w:rsidR="00E174C7" w:rsidRPr="00FF04F0">
        <w:rPr>
          <w:szCs w:val="24"/>
        </w:rPr>
        <w:t xml:space="preserve">º 009/2019 – Fundação Leão XIII, que como </w:t>
      </w:r>
      <w:r w:rsidR="00E174C7" w:rsidRPr="00FF04F0">
        <w:rPr>
          <w:szCs w:val="24"/>
        </w:rPr>
        <w:t xml:space="preserve">se observa pela </w:t>
      </w:r>
      <w:r w:rsidR="00E174C7" w:rsidRPr="00FF04F0">
        <w:rPr>
          <w:szCs w:val="24"/>
        </w:rPr>
        <w:t xml:space="preserve">sua </w:t>
      </w:r>
      <w:r w:rsidR="00E174C7" w:rsidRPr="00FF04F0">
        <w:rPr>
          <w:szCs w:val="24"/>
        </w:rPr>
        <w:t>simples leitura, é regido pela Lei nº 10.520/2002, Decretos Estaduais nº 31.863 e nº</w:t>
      </w:r>
      <w:r w:rsidR="00E174C7" w:rsidRPr="00FF04F0">
        <w:rPr>
          <w:szCs w:val="24"/>
        </w:rPr>
        <w:t xml:space="preserve"> </w:t>
      </w:r>
      <w:r w:rsidR="00E174C7" w:rsidRPr="00FF04F0">
        <w:rPr>
          <w:szCs w:val="24"/>
        </w:rPr>
        <w:t>31.864, de 16 de setembro de 2002, com aplicação subsidiária de lei 8.666/93 e demais legislações correlatas, fundamentando todas as suas razões recursais apenas e tão somente na lei 8.666/93, deixando de observar o regramento legal que rege os procedimentos de pregão eletrônico.</w:t>
      </w:r>
    </w:p>
    <w:p w:rsidR="00E174C7" w:rsidRPr="00FF04F0" w:rsidRDefault="00FF04F0" w:rsidP="005E2C30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E174C7" w:rsidRPr="00FF04F0">
        <w:rPr>
          <w:szCs w:val="24"/>
        </w:rPr>
        <w:t xml:space="preserve">Assim, </w:t>
      </w:r>
      <w:r w:rsidR="00E174C7" w:rsidRPr="00FF04F0">
        <w:rPr>
          <w:szCs w:val="24"/>
        </w:rPr>
        <w:t xml:space="preserve">quanto à matéria do referido recurso nos cabe as seguintes respostas: </w:t>
      </w:r>
    </w:p>
    <w:p w:rsidR="00E174C7" w:rsidRPr="00FF04F0" w:rsidRDefault="00E174C7" w:rsidP="00770998">
      <w:pPr>
        <w:tabs>
          <w:tab w:val="left" w:pos="2775"/>
        </w:tabs>
        <w:jc w:val="both"/>
        <w:rPr>
          <w:szCs w:val="24"/>
        </w:rPr>
      </w:pPr>
    </w:p>
    <w:p w:rsidR="00E174C7" w:rsidRPr="00FF04F0" w:rsidRDefault="00E174C7" w:rsidP="00770998">
      <w:pPr>
        <w:tabs>
          <w:tab w:val="left" w:pos="2775"/>
        </w:tabs>
        <w:jc w:val="both"/>
        <w:rPr>
          <w:b/>
          <w:szCs w:val="24"/>
        </w:rPr>
      </w:pPr>
      <w:r w:rsidRPr="00FF04F0">
        <w:rPr>
          <w:szCs w:val="24"/>
        </w:rPr>
        <w:t xml:space="preserve">            </w:t>
      </w:r>
      <w:r w:rsidRPr="00FF04F0">
        <w:rPr>
          <w:b/>
          <w:szCs w:val="24"/>
        </w:rPr>
        <w:t xml:space="preserve">1 </w:t>
      </w:r>
      <w:r w:rsidR="008C2281">
        <w:rPr>
          <w:b/>
          <w:szCs w:val="24"/>
        </w:rPr>
        <w:t>–</w:t>
      </w:r>
      <w:r w:rsidRPr="00FF04F0">
        <w:rPr>
          <w:b/>
          <w:szCs w:val="24"/>
        </w:rPr>
        <w:t xml:space="preserve"> </w:t>
      </w:r>
      <w:r w:rsidR="008C2281">
        <w:rPr>
          <w:b/>
          <w:szCs w:val="24"/>
        </w:rPr>
        <w:t>“</w:t>
      </w:r>
      <w:r w:rsidRPr="00FF04F0">
        <w:rPr>
          <w:b/>
          <w:szCs w:val="24"/>
        </w:rPr>
        <w:t>Quanto à</w:t>
      </w:r>
      <w:r w:rsidRPr="00FF04F0">
        <w:rPr>
          <w:b/>
          <w:szCs w:val="24"/>
        </w:rPr>
        <w:t xml:space="preserve"> necessidade de apresentação de planilhas detalhadas em que </w:t>
      </w:r>
      <w:r w:rsidRPr="00FF04F0">
        <w:rPr>
          <w:b/>
          <w:szCs w:val="24"/>
        </w:rPr>
        <w:t>haja discriminação dos custos</w:t>
      </w:r>
      <w:r w:rsidRPr="00FF04F0">
        <w:rPr>
          <w:b/>
          <w:szCs w:val="24"/>
        </w:rPr>
        <w:t xml:space="preserve"> unitários do objeto licitado</w:t>
      </w:r>
      <w:r w:rsidR="008C2281">
        <w:rPr>
          <w:b/>
          <w:szCs w:val="24"/>
        </w:rPr>
        <w:t>”</w:t>
      </w:r>
      <w:r w:rsidRPr="00FF04F0">
        <w:rPr>
          <w:b/>
          <w:szCs w:val="24"/>
        </w:rPr>
        <w:t xml:space="preserve">; </w:t>
      </w:r>
    </w:p>
    <w:p w:rsidR="00E174C7" w:rsidRPr="00FF04F0" w:rsidRDefault="00E174C7" w:rsidP="00770998">
      <w:pPr>
        <w:tabs>
          <w:tab w:val="left" w:pos="709"/>
        </w:tabs>
        <w:jc w:val="both"/>
        <w:rPr>
          <w:szCs w:val="24"/>
        </w:rPr>
      </w:pPr>
      <w:r w:rsidRPr="00FF04F0">
        <w:rPr>
          <w:szCs w:val="24"/>
        </w:rPr>
        <w:t xml:space="preserve"> </w:t>
      </w:r>
      <w:r w:rsidRPr="00FF04F0">
        <w:rPr>
          <w:rStyle w:val="Forte"/>
          <w:szCs w:val="24"/>
        </w:rPr>
        <w:t xml:space="preserve">           </w:t>
      </w:r>
      <w:r w:rsidRPr="00FF04F0">
        <w:rPr>
          <w:szCs w:val="24"/>
        </w:rPr>
        <w:t xml:space="preserve"> As planilhas detalhadas em que haja discriminação dos custos dos unitários do objeto licitado</w:t>
      </w:r>
      <w:r w:rsidRPr="00FF04F0">
        <w:rPr>
          <w:szCs w:val="24"/>
        </w:rPr>
        <w:t xml:space="preserve"> </w:t>
      </w:r>
      <w:r w:rsidRPr="00FF04F0">
        <w:rPr>
          <w:szCs w:val="24"/>
        </w:rPr>
        <w:t>fora</w:t>
      </w:r>
      <w:r w:rsidRPr="00FF04F0">
        <w:rPr>
          <w:szCs w:val="24"/>
        </w:rPr>
        <w:t>m</w:t>
      </w:r>
      <w:r w:rsidRPr="00FF04F0">
        <w:rPr>
          <w:szCs w:val="24"/>
        </w:rPr>
        <w:t xml:space="preserve"> devidamente apresentadas, em tempo hábil pela empresa ACF DA SILVA LTDA ME</w:t>
      </w:r>
      <w:r w:rsidR="00793EB9" w:rsidRPr="00FF04F0">
        <w:rPr>
          <w:szCs w:val="24"/>
        </w:rPr>
        <w:t>,</w:t>
      </w:r>
      <w:r w:rsidRPr="00FF04F0">
        <w:rPr>
          <w:szCs w:val="24"/>
        </w:rPr>
        <w:t xml:space="preserve"> ora habilitada.</w:t>
      </w:r>
    </w:p>
    <w:p w:rsidR="00E174C7" w:rsidRPr="00FF04F0" w:rsidRDefault="00E174C7" w:rsidP="00793EB9">
      <w:pPr>
        <w:jc w:val="both"/>
        <w:rPr>
          <w:szCs w:val="24"/>
        </w:rPr>
      </w:pPr>
      <w:r w:rsidRPr="00FF04F0">
        <w:rPr>
          <w:szCs w:val="24"/>
        </w:rPr>
        <w:t xml:space="preserve">  </w:t>
      </w:r>
      <w:r w:rsidRPr="00FF04F0">
        <w:rPr>
          <w:szCs w:val="24"/>
        </w:rPr>
        <w:tab/>
        <w:t xml:space="preserve">Insta salientar que as planilhas de custos servem apenas como adequação </w:t>
      </w:r>
      <w:r w:rsidRPr="00FF04F0">
        <w:rPr>
          <w:szCs w:val="24"/>
        </w:rPr>
        <w:tab/>
        <w:t xml:space="preserve"> </w:t>
      </w:r>
      <w:r w:rsidRPr="00FF04F0">
        <w:rPr>
          <w:szCs w:val="24"/>
        </w:rPr>
        <w:t>e c</w:t>
      </w:r>
      <w:r w:rsidRPr="00FF04F0">
        <w:rPr>
          <w:szCs w:val="24"/>
        </w:rPr>
        <w:t>omprovação do preço efetivamente repassado a ser contratado pelo órgão licitante e da capacidade da empresa habilitada de praticar o preço mais vantajoso ofertado.</w:t>
      </w:r>
    </w:p>
    <w:p w:rsidR="00E174C7" w:rsidRPr="00FF04F0" w:rsidRDefault="00E174C7" w:rsidP="00770998">
      <w:pPr>
        <w:jc w:val="both"/>
        <w:rPr>
          <w:szCs w:val="24"/>
        </w:rPr>
      </w:pPr>
      <w:r w:rsidRPr="00FF04F0">
        <w:rPr>
          <w:szCs w:val="24"/>
        </w:rPr>
        <w:tab/>
        <w:t xml:space="preserve">A empresa </w:t>
      </w:r>
      <w:r w:rsidRPr="00FF04F0">
        <w:rPr>
          <w:szCs w:val="24"/>
        </w:rPr>
        <w:t>ora habilitada, qual seja, ACF DA SILVA LTDA ME</w:t>
      </w:r>
      <w:r w:rsidRPr="00FF04F0">
        <w:rPr>
          <w:szCs w:val="24"/>
        </w:rPr>
        <w:t xml:space="preserve">, apresentou suas planilhas de custos, sendo detectadas </w:t>
      </w:r>
      <w:r w:rsidRPr="00FF04F0">
        <w:rPr>
          <w:szCs w:val="24"/>
        </w:rPr>
        <w:t xml:space="preserve">diferenças </w:t>
      </w:r>
      <w:r w:rsidRPr="00FF04F0">
        <w:rPr>
          <w:szCs w:val="24"/>
        </w:rPr>
        <w:t>durante a análise das mesmas, pelo setor de auditoria interna da Contratante.</w:t>
      </w:r>
    </w:p>
    <w:p w:rsidR="00E174C7" w:rsidRPr="00FF04F0" w:rsidRDefault="00606CF1" w:rsidP="00770998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E174C7" w:rsidRPr="00FF04F0">
        <w:rPr>
          <w:szCs w:val="24"/>
        </w:rPr>
        <w:t>Coube assim à Fundação Leão XIII, por intermédio de sua pregoeira, determinar a licitante habilitada à promoção de ajustes nessas planilhas, de forma a refletir adequadamente os custos envolvidos na contratação, cabendo ainda ressaltar que não houve qualquer majoração do preço proposto, ocorrendo o contr</w:t>
      </w:r>
      <w:r w:rsidR="00E174C7" w:rsidRPr="00FF04F0">
        <w:rPr>
          <w:szCs w:val="24"/>
        </w:rPr>
        <w:t>á</w:t>
      </w:r>
      <w:r w:rsidR="00E174C7" w:rsidRPr="00FF04F0">
        <w:rPr>
          <w:szCs w:val="24"/>
        </w:rPr>
        <w:t xml:space="preserve">rio, </w:t>
      </w:r>
      <w:r w:rsidR="00E174C7" w:rsidRPr="00FF04F0">
        <w:rPr>
          <w:szCs w:val="24"/>
        </w:rPr>
        <w:t xml:space="preserve">houve </w:t>
      </w:r>
      <w:r w:rsidR="00E174C7" w:rsidRPr="00FF04F0">
        <w:rPr>
          <w:szCs w:val="24"/>
        </w:rPr>
        <w:t>a redução do mesmo.</w:t>
      </w:r>
      <w:r w:rsidRPr="00606CF1">
        <w:rPr>
          <w:szCs w:val="24"/>
        </w:rPr>
        <w:t xml:space="preserve"> </w:t>
      </w:r>
    </w:p>
    <w:p w:rsidR="00E174C7" w:rsidRPr="00FF04F0" w:rsidRDefault="00E174C7" w:rsidP="00770998">
      <w:pPr>
        <w:jc w:val="both"/>
        <w:rPr>
          <w:szCs w:val="24"/>
        </w:rPr>
      </w:pPr>
      <w:r w:rsidRPr="00FF04F0">
        <w:rPr>
          <w:szCs w:val="24"/>
        </w:rPr>
        <w:t xml:space="preserve">                </w:t>
      </w:r>
    </w:p>
    <w:p w:rsidR="00E174C7" w:rsidRPr="00FF04F0" w:rsidRDefault="008C2281" w:rsidP="00770998">
      <w:pPr>
        <w:pStyle w:val="PargrafodaLista"/>
        <w:numPr>
          <w:ilvl w:val="0"/>
          <w:numId w:val="2"/>
        </w:numPr>
        <w:tabs>
          <w:tab w:val="left" w:pos="2775"/>
        </w:tabs>
        <w:jc w:val="both"/>
        <w:rPr>
          <w:b/>
          <w:szCs w:val="24"/>
        </w:rPr>
      </w:pPr>
      <w:r>
        <w:rPr>
          <w:b/>
          <w:szCs w:val="24"/>
        </w:rPr>
        <w:t>–</w:t>
      </w:r>
      <w:r w:rsidR="00E174C7" w:rsidRPr="00FF04F0">
        <w:rPr>
          <w:b/>
          <w:szCs w:val="24"/>
        </w:rPr>
        <w:t xml:space="preserve"> </w:t>
      </w:r>
      <w:r>
        <w:rPr>
          <w:b/>
          <w:szCs w:val="24"/>
        </w:rPr>
        <w:t>“</w:t>
      </w:r>
      <w:r w:rsidR="00E174C7" w:rsidRPr="00FF04F0">
        <w:rPr>
          <w:b/>
          <w:szCs w:val="24"/>
        </w:rPr>
        <w:t>Que já houve oportunidade da empresa habilitada sanar as inconsistências na elaboração das planilhas, e que não foram corrigidas a termo, mesmo devidamente sanadas</w:t>
      </w:r>
      <w:r w:rsidR="00E174C7" w:rsidRPr="00FF04F0">
        <w:rPr>
          <w:b/>
          <w:szCs w:val="24"/>
        </w:rPr>
        <w:t xml:space="preserve">, permanecendo inconsistências </w:t>
      </w:r>
      <w:r w:rsidR="00E174C7" w:rsidRPr="00FF04F0">
        <w:rPr>
          <w:b/>
          <w:szCs w:val="24"/>
        </w:rPr>
        <w:t>quanto aos custos</w:t>
      </w:r>
      <w:r>
        <w:rPr>
          <w:b/>
          <w:szCs w:val="24"/>
        </w:rPr>
        <w:t>”</w:t>
      </w:r>
      <w:r w:rsidR="00E174C7" w:rsidRPr="00FF04F0">
        <w:rPr>
          <w:b/>
          <w:szCs w:val="24"/>
        </w:rPr>
        <w:t>;</w:t>
      </w:r>
    </w:p>
    <w:p w:rsidR="00606CF1" w:rsidRPr="00FF04F0" w:rsidRDefault="00BF0910" w:rsidP="00770998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    </w:t>
      </w:r>
      <w:r w:rsidR="00E174C7" w:rsidRPr="00FF04F0">
        <w:rPr>
          <w:szCs w:val="24"/>
        </w:rPr>
        <w:t xml:space="preserve">A referida planilha já foi objeto de analise pelo Setor de auditoria interna desta Fundação, ora licitante, </w:t>
      </w:r>
      <w:r w:rsidR="00E174C7" w:rsidRPr="00FF04F0">
        <w:rPr>
          <w:szCs w:val="24"/>
        </w:rPr>
        <w:t>e as diferenças</w:t>
      </w:r>
      <w:r w:rsidR="00606CF1">
        <w:rPr>
          <w:szCs w:val="24"/>
        </w:rPr>
        <w:t xml:space="preserve"> já foram oportunamente sanadas.</w:t>
      </w:r>
    </w:p>
    <w:p w:rsidR="00E174C7" w:rsidRPr="00FF04F0" w:rsidRDefault="00E174C7" w:rsidP="00770998">
      <w:pPr>
        <w:pStyle w:val="Corpodetexto"/>
        <w:rPr>
          <w:rFonts w:ascii="Times New Roman" w:hAnsi="Times New Roman"/>
          <w:szCs w:val="24"/>
        </w:rPr>
      </w:pPr>
    </w:p>
    <w:p w:rsidR="005E2C30" w:rsidRPr="005E2C30" w:rsidRDefault="008C2281" w:rsidP="00770998">
      <w:pPr>
        <w:pStyle w:val="PargrafodaLista"/>
        <w:numPr>
          <w:ilvl w:val="0"/>
          <w:numId w:val="2"/>
        </w:numPr>
        <w:shd w:val="clear" w:color="auto" w:fill="FFFFFF"/>
        <w:tabs>
          <w:tab w:val="left" w:pos="2775"/>
        </w:tabs>
        <w:jc w:val="both"/>
        <w:textAlignment w:val="baseline"/>
        <w:rPr>
          <w:bCs/>
          <w:color w:val="000000"/>
          <w:szCs w:val="24"/>
        </w:rPr>
      </w:pPr>
      <w:r w:rsidRPr="005E2C30">
        <w:rPr>
          <w:b/>
          <w:szCs w:val="24"/>
        </w:rPr>
        <w:t>–</w:t>
      </w:r>
      <w:r w:rsidR="00E174C7" w:rsidRPr="005E2C30">
        <w:rPr>
          <w:b/>
          <w:szCs w:val="24"/>
        </w:rPr>
        <w:t xml:space="preserve"> </w:t>
      </w:r>
      <w:r w:rsidRPr="005E2C30">
        <w:rPr>
          <w:b/>
          <w:szCs w:val="24"/>
        </w:rPr>
        <w:t>“</w:t>
      </w:r>
      <w:r w:rsidR="00E174C7" w:rsidRPr="005E2C30">
        <w:rPr>
          <w:b/>
          <w:szCs w:val="24"/>
        </w:rPr>
        <w:t>Que a IN 05 determina que a cobrança de alíquota referente ao lucro não poderá ultrapassar o percentual de 6,79% e teria sido aplicado o percentual de 8%</w:t>
      </w:r>
      <w:r w:rsidRPr="005E2C30">
        <w:rPr>
          <w:b/>
          <w:szCs w:val="24"/>
        </w:rPr>
        <w:t>”</w:t>
      </w:r>
      <w:r w:rsidR="00E174C7" w:rsidRPr="005E2C30">
        <w:rPr>
          <w:b/>
          <w:szCs w:val="24"/>
        </w:rPr>
        <w:t>;</w:t>
      </w:r>
    </w:p>
    <w:p w:rsidR="00E174C7" w:rsidRPr="005E2C30" w:rsidRDefault="005E2C30" w:rsidP="005E2C30">
      <w:pPr>
        <w:shd w:val="clear" w:color="auto" w:fill="FFFFFF"/>
        <w:tabs>
          <w:tab w:val="left" w:pos="2775"/>
        </w:tabs>
        <w:ind w:left="360"/>
        <w:jc w:val="both"/>
        <w:textAlignment w:val="baseline"/>
        <w:rPr>
          <w:bCs/>
          <w:color w:val="000000"/>
          <w:szCs w:val="24"/>
        </w:rPr>
      </w:pPr>
      <w:r>
        <w:rPr>
          <w:szCs w:val="24"/>
        </w:rPr>
        <w:t xml:space="preserve"> </w:t>
      </w:r>
      <w:r w:rsidR="00E174C7" w:rsidRPr="005E2C30">
        <w:rPr>
          <w:szCs w:val="24"/>
        </w:rPr>
        <w:t>Conforme se</w:t>
      </w:r>
      <w:r w:rsidR="00E174C7" w:rsidRPr="005E2C30">
        <w:rPr>
          <w:szCs w:val="24"/>
        </w:rPr>
        <w:t xml:space="preserve"> infere da Instrução Normativa </w:t>
      </w:r>
      <w:r w:rsidR="00E174C7" w:rsidRPr="005E2C30">
        <w:rPr>
          <w:szCs w:val="24"/>
        </w:rPr>
        <w:t xml:space="preserve">nº 05 de 16 de maio de 2017, a mesma </w:t>
      </w:r>
      <w:r w:rsidR="00E174C7" w:rsidRPr="005E2C30">
        <w:rPr>
          <w:bCs/>
          <w:color w:val="000000"/>
          <w:szCs w:val="24"/>
        </w:rPr>
        <w:t>d</w:t>
      </w:r>
      <w:r w:rsidR="00E174C7" w:rsidRPr="005E2C30">
        <w:rPr>
          <w:bCs/>
          <w:color w:val="000000"/>
          <w:szCs w:val="24"/>
        </w:rPr>
        <w:t>ispõe sobre as regras e diretrizes do procedimento de contratação de serviços sob o regime de execução indireta no âmbito da Administração Pública federal direta, autárquica e fundacional, referentes a contratações de serviços de limpeza e vigilância patrimonial, sendo aplicada de forma subsidiária e no que couber, a outras contratações.</w:t>
      </w:r>
    </w:p>
    <w:p w:rsidR="00E174C7" w:rsidRPr="00FF04F0" w:rsidRDefault="00E174C7" w:rsidP="007709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4F0">
        <w:rPr>
          <w:color w:val="000000"/>
        </w:rPr>
        <w:t xml:space="preserve"> </w:t>
      </w:r>
      <w:r w:rsidRPr="00FF04F0">
        <w:rPr>
          <w:color w:val="000000"/>
        </w:rPr>
        <w:tab/>
        <w:t> A Fundação Leão XIII</w:t>
      </w:r>
      <w:r w:rsidRPr="00FF04F0">
        <w:rPr>
          <w:color w:val="000000"/>
        </w:rPr>
        <w:t xml:space="preserve"> pertencente ao Estado do Rio de Janeiro,</w:t>
      </w:r>
      <w:r w:rsidRPr="00FF04F0">
        <w:rPr>
          <w:color w:val="000000"/>
        </w:rPr>
        <w:t xml:space="preserve"> </w:t>
      </w:r>
      <w:r w:rsidRPr="00FF04F0">
        <w:rPr>
          <w:color w:val="000000"/>
        </w:rPr>
        <w:t>compõe à</w:t>
      </w:r>
      <w:r w:rsidRPr="00FF04F0">
        <w:rPr>
          <w:color w:val="000000"/>
        </w:rPr>
        <w:t xml:space="preserve"> administração indireta, ou seja, </w:t>
      </w:r>
      <w:r w:rsidRPr="00FF04F0">
        <w:rPr>
          <w:color w:val="000000"/>
        </w:rPr>
        <w:t>não se aplica</w:t>
      </w:r>
      <w:r w:rsidRPr="00FF04F0">
        <w:rPr>
          <w:color w:val="000000"/>
        </w:rPr>
        <w:t xml:space="preserve"> </w:t>
      </w:r>
      <w:r w:rsidRPr="00FF04F0">
        <w:rPr>
          <w:color w:val="000000"/>
        </w:rPr>
        <w:t xml:space="preserve">obrigatoriamente </w:t>
      </w:r>
      <w:r w:rsidRPr="00FF04F0">
        <w:rPr>
          <w:color w:val="000000"/>
        </w:rPr>
        <w:t>a ela a</w:t>
      </w:r>
      <w:r w:rsidRPr="00FF04F0">
        <w:rPr>
          <w:color w:val="000000"/>
        </w:rPr>
        <w:t xml:space="preserve"> referida Instrução</w:t>
      </w:r>
      <w:r w:rsidRPr="00FF04F0">
        <w:rPr>
          <w:bCs/>
          <w:color w:val="000000"/>
        </w:rPr>
        <w:t>.</w:t>
      </w:r>
    </w:p>
    <w:p w:rsidR="00E174C7" w:rsidRDefault="00E174C7" w:rsidP="00770998">
      <w:pPr>
        <w:shd w:val="clear" w:color="auto" w:fill="FFFFFF"/>
        <w:jc w:val="both"/>
        <w:textAlignment w:val="baseline"/>
        <w:rPr>
          <w:szCs w:val="24"/>
        </w:rPr>
      </w:pPr>
      <w:r w:rsidRPr="00FF04F0">
        <w:rPr>
          <w:color w:val="000000"/>
          <w:szCs w:val="24"/>
        </w:rPr>
        <w:t xml:space="preserve"> </w:t>
      </w:r>
      <w:r w:rsidRPr="00FF04F0">
        <w:rPr>
          <w:color w:val="000000"/>
          <w:szCs w:val="24"/>
        </w:rPr>
        <w:tab/>
      </w:r>
      <w:r w:rsidRPr="00FF04F0">
        <w:rPr>
          <w:b/>
          <w:color w:val="000000"/>
          <w:szCs w:val="24"/>
        </w:rPr>
        <w:t xml:space="preserve"> </w:t>
      </w:r>
      <w:r w:rsidRPr="00FF04F0">
        <w:rPr>
          <w:color w:val="000000"/>
          <w:szCs w:val="24"/>
        </w:rPr>
        <w:t>Ainda que tal normativa fosse adotada como referencia, cabe destacar que não há qu</w:t>
      </w:r>
      <w:r w:rsidRPr="00FF04F0">
        <w:rPr>
          <w:color w:val="000000"/>
          <w:szCs w:val="24"/>
        </w:rPr>
        <w:t xml:space="preserve">alquer menção quanto </w:t>
      </w:r>
      <w:proofErr w:type="gramStart"/>
      <w:r w:rsidRPr="00FF04F0">
        <w:rPr>
          <w:color w:val="000000"/>
          <w:szCs w:val="24"/>
        </w:rPr>
        <w:t>a</w:t>
      </w:r>
      <w:proofErr w:type="gramEnd"/>
      <w:r w:rsidRPr="00FF04F0">
        <w:rPr>
          <w:color w:val="000000"/>
          <w:szCs w:val="24"/>
        </w:rPr>
        <w:t xml:space="preserve"> alíquota</w:t>
      </w:r>
      <w:r w:rsidRPr="00FF04F0">
        <w:rPr>
          <w:color w:val="000000"/>
          <w:szCs w:val="24"/>
        </w:rPr>
        <w:t xml:space="preserve"> </w:t>
      </w:r>
      <w:r w:rsidRPr="00FF04F0">
        <w:rPr>
          <w:szCs w:val="24"/>
        </w:rPr>
        <w:t>referente ao lucro não poder ultrapassar o percentual de 6,79%, para</w:t>
      </w:r>
      <w:r w:rsidR="00C66D6D" w:rsidRPr="00FF04F0">
        <w:rPr>
          <w:szCs w:val="24"/>
        </w:rPr>
        <w:t xml:space="preserve"> objeto da presente licitação, qual seja, </w:t>
      </w:r>
      <w:r w:rsidRPr="00FF04F0">
        <w:rPr>
          <w:szCs w:val="24"/>
        </w:rPr>
        <w:t>a contratação de serviços de preparo, fornecimento e distribuição de alimentação a ser operacionalizada nos abrigos da</w:t>
      </w:r>
      <w:r w:rsidR="00C66D6D" w:rsidRPr="00FF04F0">
        <w:rPr>
          <w:szCs w:val="24"/>
        </w:rPr>
        <w:t xml:space="preserve"> contratante</w:t>
      </w:r>
      <w:r w:rsidRPr="00FF04F0">
        <w:rPr>
          <w:szCs w:val="24"/>
        </w:rPr>
        <w:t>, conforme as previsões, exigências e especificações;</w:t>
      </w:r>
    </w:p>
    <w:p w:rsidR="00793EB9" w:rsidRPr="00FF04F0" w:rsidRDefault="00793EB9" w:rsidP="00770998">
      <w:pPr>
        <w:shd w:val="clear" w:color="auto" w:fill="FFFFFF"/>
        <w:jc w:val="both"/>
        <w:textAlignment w:val="baseline"/>
        <w:rPr>
          <w:b/>
          <w:szCs w:val="24"/>
        </w:rPr>
      </w:pPr>
    </w:p>
    <w:p w:rsidR="00E174C7" w:rsidRPr="00FF04F0" w:rsidRDefault="008C2281" w:rsidP="00770998">
      <w:pPr>
        <w:pStyle w:val="PargrafodaLista"/>
        <w:numPr>
          <w:ilvl w:val="0"/>
          <w:numId w:val="2"/>
        </w:numPr>
        <w:tabs>
          <w:tab w:val="left" w:pos="2775"/>
        </w:tabs>
        <w:jc w:val="both"/>
        <w:rPr>
          <w:b/>
          <w:szCs w:val="24"/>
        </w:rPr>
      </w:pPr>
      <w:r>
        <w:rPr>
          <w:b/>
          <w:szCs w:val="24"/>
        </w:rPr>
        <w:t>–</w:t>
      </w:r>
      <w:r w:rsidR="00E174C7" w:rsidRPr="00FF04F0">
        <w:rPr>
          <w:b/>
          <w:szCs w:val="24"/>
        </w:rPr>
        <w:t xml:space="preserve"> </w:t>
      </w:r>
      <w:r>
        <w:rPr>
          <w:b/>
          <w:szCs w:val="24"/>
        </w:rPr>
        <w:t>“</w:t>
      </w:r>
      <w:r w:rsidR="00E174C7" w:rsidRPr="00FF04F0">
        <w:rPr>
          <w:b/>
          <w:szCs w:val="24"/>
        </w:rPr>
        <w:t>Que não há na planilha apresentada previsão de recolhimento de ISS na planilha de custos, não havendo previsão no Edital para tal cômputo</w:t>
      </w:r>
      <w:r>
        <w:rPr>
          <w:b/>
          <w:szCs w:val="24"/>
        </w:rPr>
        <w:t>”</w:t>
      </w:r>
      <w:r w:rsidR="00E174C7" w:rsidRPr="00FF04F0">
        <w:rPr>
          <w:b/>
          <w:szCs w:val="24"/>
        </w:rPr>
        <w:t>;</w:t>
      </w:r>
    </w:p>
    <w:p w:rsidR="00C66D6D" w:rsidRPr="00FF04F0" w:rsidRDefault="00FF04F0" w:rsidP="00770998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E174C7" w:rsidRPr="00FF04F0">
        <w:rPr>
          <w:szCs w:val="24"/>
        </w:rPr>
        <w:t>Primeiramente, cabe destacar que as planilhas foram analisadas pela Auditoria Interna desta Fundação e que o produto fim trata-se do fornecimento de refeições prontas. As planilhas de mão de obra apresentadas são demonstrações analíticas do preço para que se alcance o valor unitário de cada refeição, dando assim uma maior transparência e detalhamento do preço fim.</w:t>
      </w:r>
    </w:p>
    <w:p w:rsidR="00E174C7" w:rsidRPr="00FF04F0" w:rsidRDefault="00E174C7" w:rsidP="00770998">
      <w:pPr>
        <w:jc w:val="both"/>
        <w:rPr>
          <w:color w:val="000000"/>
          <w:szCs w:val="24"/>
        </w:rPr>
      </w:pPr>
      <w:r w:rsidRPr="00FF04F0">
        <w:rPr>
          <w:color w:val="000000"/>
          <w:szCs w:val="24"/>
        </w:rPr>
        <w:tab/>
      </w:r>
      <w:r w:rsidR="00C66D6D" w:rsidRPr="00FF04F0">
        <w:rPr>
          <w:color w:val="000000"/>
          <w:szCs w:val="24"/>
        </w:rPr>
        <w:t xml:space="preserve"> </w:t>
      </w:r>
      <w:r w:rsidRPr="00FF04F0">
        <w:rPr>
          <w:color w:val="000000"/>
          <w:szCs w:val="24"/>
        </w:rPr>
        <w:t xml:space="preserve">Desta forma, verifica-se que na apresentação do preço final na nota </w:t>
      </w:r>
      <w:r w:rsidR="00C66D6D" w:rsidRPr="00FF04F0">
        <w:rPr>
          <w:color w:val="000000"/>
          <w:szCs w:val="24"/>
        </w:rPr>
        <w:t xml:space="preserve">fiscal </w:t>
      </w:r>
      <w:r w:rsidRPr="00FF04F0">
        <w:rPr>
          <w:color w:val="000000"/>
          <w:szCs w:val="24"/>
        </w:rPr>
        <w:t>estará se aferindo a quantidade de refeições fornecidas, a</w:t>
      </w:r>
      <w:r w:rsidR="00C66D6D" w:rsidRPr="00FF04F0">
        <w:rPr>
          <w:color w:val="000000"/>
          <w:szCs w:val="24"/>
        </w:rPr>
        <w:t>í</w:t>
      </w:r>
      <w:r w:rsidRPr="00FF04F0">
        <w:rPr>
          <w:color w:val="000000"/>
          <w:szCs w:val="24"/>
        </w:rPr>
        <w:t xml:space="preserve"> já inclu</w:t>
      </w:r>
      <w:r w:rsidR="00C66D6D" w:rsidRPr="00FF04F0">
        <w:rPr>
          <w:color w:val="000000"/>
          <w:szCs w:val="24"/>
        </w:rPr>
        <w:t>sos</w:t>
      </w:r>
      <w:r w:rsidRPr="00FF04F0">
        <w:rPr>
          <w:color w:val="000000"/>
          <w:szCs w:val="24"/>
        </w:rPr>
        <w:t xml:space="preserve"> todos os impostos efetivamente devidos, não se aplicando o c</w:t>
      </w:r>
      <w:r w:rsidR="00C66D6D" w:rsidRPr="00FF04F0">
        <w:rPr>
          <w:color w:val="000000"/>
          <w:szCs w:val="24"/>
        </w:rPr>
        <w:t>á</w:t>
      </w:r>
      <w:r w:rsidRPr="00FF04F0">
        <w:rPr>
          <w:color w:val="000000"/>
          <w:szCs w:val="24"/>
        </w:rPr>
        <w:t>lculo mencionado no caso em tela.</w:t>
      </w:r>
    </w:p>
    <w:p w:rsidR="00E174C7" w:rsidRPr="00FF04F0" w:rsidRDefault="00E174C7" w:rsidP="00770998">
      <w:pPr>
        <w:pStyle w:val="Corpodetexto"/>
        <w:rPr>
          <w:rFonts w:ascii="Times New Roman" w:hAnsi="Times New Roman"/>
          <w:szCs w:val="24"/>
        </w:rPr>
      </w:pPr>
    </w:p>
    <w:p w:rsidR="00793EB9" w:rsidRDefault="008C2281" w:rsidP="00793EB9">
      <w:pPr>
        <w:pStyle w:val="PargrafodaLista"/>
        <w:numPr>
          <w:ilvl w:val="0"/>
          <w:numId w:val="2"/>
        </w:numPr>
        <w:tabs>
          <w:tab w:val="left" w:pos="2775"/>
        </w:tabs>
        <w:ind w:left="0"/>
        <w:jc w:val="both"/>
        <w:rPr>
          <w:szCs w:val="24"/>
        </w:rPr>
      </w:pPr>
      <w:r w:rsidRPr="00793EB9">
        <w:rPr>
          <w:b/>
          <w:szCs w:val="24"/>
        </w:rPr>
        <w:t>–</w:t>
      </w:r>
      <w:r w:rsidR="00E174C7" w:rsidRPr="00793EB9">
        <w:rPr>
          <w:b/>
          <w:szCs w:val="24"/>
        </w:rPr>
        <w:t xml:space="preserve"> </w:t>
      </w:r>
      <w:r w:rsidRPr="00793EB9">
        <w:rPr>
          <w:b/>
          <w:szCs w:val="24"/>
        </w:rPr>
        <w:t>“</w:t>
      </w:r>
      <w:r w:rsidR="00E174C7" w:rsidRPr="00793EB9">
        <w:rPr>
          <w:b/>
          <w:szCs w:val="24"/>
        </w:rPr>
        <w:t>Que na composição de custos, o valor de férias e 1/3 constitucional esta apresentando como 11,11% e que seria devido o percentual de 12,10%</w:t>
      </w:r>
      <w:r w:rsidRPr="00793EB9">
        <w:rPr>
          <w:b/>
          <w:szCs w:val="24"/>
        </w:rPr>
        <w:t>”</w:t>
      </w:r>
      <w:r w:rsidR="00E174C7" w:rsidRPr="00793EB9">
        <w:rPr>
          <w:b/>
          <w:szCs w:val="24"/>
        </w:rPr>
        <w:t>;</w:t>
      </w:r>
      <w:r w:rsidR="00E174C7" w:rsidRPr="00793EB9">
        <w:rPr>
          <w:szCs w:val="24"/>
        </w:rPr>
        <w:t xml:space="preserve"> </w:t>
      </w:r>
    </w:p>
    <w:p w:rsidR="005C6AB8" w:rsidRPr="00793EB9" w:rsidRDefault="00E174C7" w:rsidP="00793EB9">
      <w:pPr>
        <w:pStyle w:val="PargrafodaLista"/>
        <w:tabs>
          <w:tab w:val="left" w:pos="2775"/>
        </w:tabs>
        <w:ind w:left="0"/>
        <w:jc w:val="both"/>
        <w:rPr>
          <w:szCs w:val="24"/>
        </w:rPr>
      </w:pPr>
      <w:r w:rsidRPr="00793EB9">
        <w:rPr>
          <w:szCs w:val="24"/>
        </w:rPr>
        <w:t xml:space="preserve">            </w:t>
      </w:r>
      <w:r w:rsidR="00FF04F0" w:rsidRPr="00793EB9">
        <w:rPr>
          <w:szCs w:val="24"/>
        </w:rPr>
        <w:t>O cá</w:t>
      </w:r>
      <w:r w:rsidRPr="00793EB9">
        <w:rPr>
          <w:szCs w:val="24"/>
        </w:rPr>
        <w:t>lculo a ser efetuado para o computo de férias</w:t>
      </w:r>
      <w:r w:rsidR="00C66D6D" w:rsidRPr="00793EB9">
        <w:rPr>
          <w:szCs w:val="24"/>
        </w:rPr>
        <w:t xml:space="preserve">, será </w:t>
      </w:r>
      <w:r w:rsidRPr="00793EB9">
        <w:rPr>
          <w:szCs w:val="24"/>
        </w:rPr>
        <w:t>mês a mês, nos casos das planilhas apresentadas</w:t>
      </w:r>
      <w:r w:rsidR="00C66D6D" w:rsidRPr="00793EB9">
        <w:rPr>
          <w:szCs w:val="24"/>
        </w:rPr>
        <w:t xml:space="preserve"> resulta em</w:t>
      </w:r>
      <w:r w:rsidRPr="00793EB9">
        <w:rPr>
          <w:szCs w:val="24"/>
        </w:rPr>
        <w:t xml:space="preserve"> um valor aproximado de 11,11%.</w:t>
      </w:r>
      <w:r w:rsidR="00C66D6D" w:rsidRPr="00793EB9">
        <w:rPr>
          <w:szCs w:val="24"/>
        </w:rPr>
        <w:t xml:space="preserve"> Sendo o mesmo tomado como</w:t>
      </w:r>
      <w:r w:rsidRPr="00793EB9">
        <w:rPr>
          <w:szCs w:val="24"/>
        </w:rPr>
        <w:t xml:space="preserve"> praxe </w:t>
      </w:r>
      <w:r w:rsidR="00C66D6D" w:rsidRPr="00793EB9">
        <w:rPr>
          <w:szCs w:val="24"/>
        </w:rPr>
        <w:t xml:space="preserve">nas </w:t>
      </w:r>
      <w:r w:rsidRPr="00793EB9">
        <w:rPr>
          <w:szCs w:val="24"/>
        </w:rPr>
        <w:t xml:space="preserve">planilhas de </w:t>
      </w:r>
      <w:r w:rsidR="00C66D6D" w:rsidRPr="00793EB9">
        <w:rPr>
          <w:szCs w:val="24"/>
        </w:rPr>
        <w:t xml:space="preserve">custos de </w:t>
      </w:r>
      <w:r w:rsidRPr="00793EB9">
        <w:rPr>
          <w:szCs w:val="24"/>
        </w:rPr>
        <w:t>contratos</w:t>
      </w:r>
      <w:r w:rsidR="00C66D6D" w:rsidRPr="00793EB9">
        <w:rPr>
          <w:szCs w:val="24"/>
        </w:rPr>
        <w:t xml:space="preserve"> do gênero</w:t>
      </w:r>
      <w:r w:rsidR="005C6AB8" w:rsidRPr="00793EB9">
        <w:rPr>
          <w:szCs w:val="24"/>
        </w:rPr>
        <w:t>. Cabe esclarecer ainda que, 8,33% refere-se à antecipação salarial mais 2,78% referente ao adicional de férias, totalizando 11,11%.</w:t>
      </w:r>
    </w:p>
    <w:p w:rsidR="00E174C7" w:rsidRPr="00FF04F0" w:rsidRDefault="00E174C7" w:rsidP="00770998">
      <w:pPr>
        <w:pStyle w:val="PargrafodaLista"/>
        <w:tabs>
          <w:tab w:val="left" w:pos="2775"/>
        </w:tabs>
        <w:jc w:val="both"/>
        <w:rPr>
          <w:szCs w:val="24"/>
        </w:rPr>
      </w:pPr>
    </w:p>
    <w:p w:rsidR="00E174C7" w:rsidRPr="00FF04F0" w:rsidRDefault="008C2281" w:rsidP="00770998">
      <w:pPr>
        <w:pStyle w:val="PargrafodaLista"/>
        <w:numPr>
          <w:ilvl w:val="0"/>
          <w:numId w:val="2"/>
        </w:numPr>
        <w:tabs>
          <w:tab w:val="left" w:pos="2775"/>
        </w:tabs>
        <w:jc w:val="both"/>
        <w:rPr>
          <w:b/>
          <w:szCs w:val="24"/>
        </w:rPr>
      </w:pPr>
      <w:r>
        <w:rPr>
          <w:b/>
          <w:szCs w:val="24"/>
        </w:rPr>
        <w:t>“</w:t>
      </w:r>
      <w:r w:rsidR="00FF04F0" w:rsidRPr="00FF04F0">
        <w:rPr>
          <w:b/>
          <w:szCs w:val="24"/>
        </w:rPr>
        <w:t>Que o valor relativo ao SAT</w:t>
      </w:r>
      <w:r w:rsidR="00E174C7" w:rsidRPr="00FF04F0">
        <w:rPr>
          <w:b/>
          <w:szCs w:val="24"/>
        </w:rPr>
        <w:t>, dependendo do grau de risco do serviço varia entre 1% e 3%, na forma da IN 05, sendo aplicado pela empresa habilitada o percentual de 0,90%</w:t>
      </w:r>
      <w:r>
        <w:rPr>
          <w:b/>
          <w:szCs w:val="24"/>
        </w:rPr>
        <w:t>”</w:t>
      </w:r>
      <w:r w:rsidR="00C66D6D" w:rsidRPr="00FF04F0">
        <w:rPr>
          <w:b/>
          <w:szCs w:val="24"/>
        </w:rPr>
        <w:t>.</w:t>
      </w:r>
    </w:p>
    <w:p w:rsidR="00C66D6D" w:rsidRPr="00FF04F0" w:rsidRDefault="00E174C7" w:rsidP="007709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FF04F0">
        <w:tab/>
      </w:r>
      <w:r w:rsidR="00C66D6D" w:rsidRPr="00FF04F0">
        <w:t xml:space="preserve">Conforme se infere da Instrução Normativa nº 05 de 16 de maio de 2017, a mesma </w:t>
      </w:r>
      <w:r w:rsidR="00C66D6D" w:rsidRPr="00FF04F0">
        <w:rPr>
          <w:bCs/>
          <w:color w:val="000000"/>
        </w:rPr>
        <w:t>dispõe sobre as regras e diretrizes do procedimento de contratação de serviços sob o regime de execução indireta no âmbito da Administração Pública federal direta, autárquica e fundacional, referentes a contratações de serviços de limpeza e vigilância patrimonial, sendo aplicada de forma subsidiária e no que couber, a outras contratações.</w:t>
      </w:r>
    </w:p>
    <w:p w:rsidR="00C66D6D" w:rsidRPr="00FF04F0" w:rsidRDefault="00C66D6D" w:rsidP="007709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4F0">
        <w:rPr>
          <w:color w:val="000000"/>
        </w:rPr>
        <w:t xml:space="preserve"> </w:t>
      </w:r>
      <w:r w:rsidRPr="00FF04F0">
        <w:rPr>
          <w:color w:val="000000"/>
        </w:rPr>
        <w:tab/>
        <w:t> A Fundação Leão XIII pertencente ao Estado do Rio de Janeiro, compõe à administração indireta, ou seja, não se aplica obrigatoriamente a ela a referida Instrução</w:t>
      </w:r>
      <w:r w:rsidRPr="00FF04F0">
        <w:rPr>
          <w:bCs/>
          <w:color w:val="000000"/>
        </w:rPr>
        <w:t>.</w:t>
      </w:r>
    </w:p>
    <w:p w:rsidR="00E174C7" w:rsidRPr="00FF04F0" w:rsidRDefault="00E174C7" w:rsidP="007709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4F0">
        <w:rPr>
          <w:color w:val="000000"/>
        </w:rPr>
        <w:lastRenderedPageBreak/>
        <w:t xml:space="preserve"> </w:t>
      </w:r>
      <w:r w:rsidRPr="00FF04F0">
        <w:rPr>
          <w:color w:val="000000"/>
        </w:rPr>
        <w:tab/>
        <w:t xml:space="preserve">Ainda que tal normativa fosse adotada como referencia, cabe destacar que tais percentuais tratam-se dos limites mínimos e máximos aplicáveis as contratações de empresas de prestação de serviços de vigilância e limpeza. </w:t>
      </w:r>
    </w:p>
    <w:p w:rsidR="00E174C7" w:rsidRPr="00FF04F0" w:rsidRDefault="00E174C7" w:rsidP="00770998">
      <w:pPr>
        <w:shd w:val="clear" w:color="auto" w:fill="FFFFFF"/>
        <w:jc w:val="both"/>
        <w:textAlignment w:val="baseline"/>
        <w:rPr>
          <w:color w:val="000000"/>
          <w:szCs w:val="24"/>
        </w:rPr>
      </w:pPr>
      <w:r w:rsidRPr="00FF04F0">
        <w:rPr>
          <w:color w:val="000000"/>
          <w:szCs w:val="24"/>
        </w:rPr>
        <w:t xml:space="preserve"> </w:t>
      </w:r>
      <w:r w:rsidRPr="00FF04F0">
        <w:rPr>
          <w:color w:val="000000"/>
          <w:szCs w:val="24"/>
        </w:rPr>
        <w:tab/>
        <w:t>E ainda, cumpre esclarecer que tal índice é variável, podendo sofrer reduções ou aumentos com base no indicador de sinistralidade ocorridos na empresa.</w:t>
      </w:r>
    </w:p>
    <w:p w:rsidR="00E174C7" w:rsidRPr="00FF04F0" w:rsidRDefault="00E174C7" w:rsidP="00770998">
      <w:pPr>
        <w:shd w:val="clear" w:color="auto" w:fill="FFFFFF"/>
        <w:jc w:val="both"/>
        <w:textAlignment w:val="baseline"/>
        <w:rPr>
          <w:color w:val="000000"/>
          <w:szCs w:val="24"/>
        </w:rPr>
      </w:pPr>
      <w:r w:rsidRPr="00FF04F0">
        <w:rPr>
          <w:color w:val="000000"/>
          <w:szCs w:val="24"/>
        </w:rPr>
        <w:t xml:space="preserve"> </w:t>
      </w:r>
      <w:r w:rsidRPr="00FF04F0">
        <w:rPr>
          <w:color w:val="000000"/>
          <w:szCs w:val="24"/>
        </w:rPr>
        <w:tab/>
        <w:t>Repisa-se, que as planilhas foram analisadas pela Auditoria Interna desta Fundação e que o produto fim trata-se do fornecimento de refeições prontas. As planilhas de mão de obra apresentadas são demonstrações analíticas do preço para que se alcance o valor unitário de cada refeição, dando assim uma maior transparência e detalhamento do preço fim.</w:t>
      </w:r>
    </w:p>
    <w:p w:rsidR="00E174C7" w:rsidRPr="00FF04F0" w:rsidRDefault="00E174C7" w:rsidP="00770998">
      <w:pPr>
        <w:pStyle w:val="PargrafodaLista"/>
        <w:tabs>
          <w:tab w:val="left" w:pos="2775"/>
        </w:tabs>
        <w:jc w:val="both"/>
        <w:rPr>
          <w:szCs w:val="24"/>
        </w:rPr>
      </w:pPr>
    </w:p>
    <w:p w:rsidR="00C66D6D" w:rsidRPr="00FF04F0" w:rsidRDefault="00C66D6D" w:rsidP="00770998">
      <w:pPr>
        <w:pStyle w:val="PargrafodaLista"/>
        <w:tabs>
          <w:tab w:val="left" w:pos="2775"/>
        </w:tabs>
        <w:jc w:val="both"/>
        <w:rPr>
          <w:szCs w:val="24"/>
        </w:rPr>
      </w:pPr>
      <w:r w:rsidRPr="00FF04F0">
        <w:rPr>
          <w:b/>
          <w:szCs w:val="24"/>
        </w:rPr>
        <w:t xml:space="preserve">7- </w:t>
      </w:r>
      <w:r w:rsidR="008C2281">
        <w:rPr>
          <w:b/>
          <w:szCs w:val="24"/>
        </w:rPr>
        <w:t>“</w:t>
      </w:r>
      <w:r w:rsidR="00E174C7" w:rsidRPr="00FF04F0">
        <w:rPr>
          <w:b/>
          <w:szCs w:val="24"/>
        </w:rPr>
        <w:t>Que o edital consiste em lei entre as partes e que é a garantia para o particular de que suas propostas serão julgadas de acordo com critérios objetivos previamente estabelecidos</w:t>
      </w:r>
      <w:r w:rsidRPr="00FF04F0">
        <w:rPr>
          <w:b/>
          <w:szCs w:val="24"/>
        </w:rPr>
        <w:t xml:space="preserve"> e</w:t>
      </w:r>
      <w:r w:rsidRPr="00FF04F0">
        <w:rPr>
          <w:szCs w:val="24"/>
        </w:rPr>
        <w:t xml:space="preserve"> </w:t>
      </w:r>
      <w:r w:rsidRPr="00FF04F0">
        <w:rPr>
          <w:szCs w:val="24"/>
        </w:rPr>
        <w:t>q</w:t>
      </w:r>
      <w:r w:rsidRPr="00FF04F0">
        <w:rPr>
          <w:b/>
          <w:szCs w:val="24"/>
        </w:rPr>
        <w:t>ue o não atendimento das condições impostas no Edital implicará na desclassificação do certame</w:t>
      </w:r>
      <w:r w:rsidR="008C2281">
        <w:rPr>
          <w:b/>
          <w:szCs w:val="24"/>
        </w:rPr>
        <w:t>”</w:t>
      </w:r>
      <w:r w:rsidRPr="00FF04F0">
        <w:rPr>
          <w:b/>
          <w:szCs w:val="24"/>
        </w:rPr>
        <w:t>;</w:t>
      </w:r>
    </w:p>
    <w:p w:rsidR="00E174C7" w:rsidRPr="00FF04F0" w:rsidRDefault="008C2281" w:rsidP="00770998">
      <w:pPr>
        <w:pStyle w:val="PargrafodaLista"/>
        <w:tabs>
          <w:tab w:val="left" w:pos="2775"/>
        </w:tabs>
        <w:ind w:left="0"/>
        <w:jc w:val="both"/>
        <w:rPr>
          <w:szCs w:val="24"/>
        </w:rPr>
      </w:pPr>
      <w:r>
        <w:rPr>
          <w:szCs w:val="24"/>
        </w:rPr>
        <w:t xml:space="preserve">          </w:t>
      </w:r>
      <w:r w:rsidR="00E174C7" w:rsidRPr="00FF04F0">
        <w:rPr>
          <w:szCs w:val="24"/>
        </w:rPr>
        <w:t xml:space="preserve">Que o </w:t>
      </w:r>
      <w:r w:rsidR="00C66D6D" w:rsidRPr="00FF04F0">
        <w:rPr>
          <w:szCs w:val="24"/>
        </w:rPr>
        <w:t xml:space="preserve">referido </w:t>
      </w:r>
      <w:r w:rsidR="00E174C7" w:rsidRPr="00FF04F0">
        <w:rPr>
          <w:szCs w:val="24"/>
        </w:rPr>
        <w:t xml:space="preserve">Edital </w:t>
      </w:r>
      <w:r w:rsidR="00C66D6D" w:rsidRPr="00FF04F0">
        <w:rPr>
          <w:szCs w:val="24"/>
        </w:rPr>
        <w:t xml:space="preserve">está em conformidade com </w:t>
      </w:r>
      <w:r w:rsidR="00E174C7" w:rsidRPr="00FF04F0">
        <w:rPr>
          <w:szCs w:val="24"/>
        </w:rPr>
        <w:t>a lei</w:t>
      </w:r>
      <w:r w:rsidR="00C66D6D" w:rsidRPr="00FF04F0">
        <w:rPr>
          <w:szCs w:val="24"/>
        </w:rPr>
        <w:t>, segue modelo padrão da PGE-RJ e apresenta critérios objetivos de habilitação e julgamento. E que todos os seus critérios foram devidamente atendidos.</w:t>
      </w:r>
      <w:r w:rsidR="00E174C7" w:rsidRPr="00FF04F0">
        <w:rPr>
          <w:szCs w:val="24"/>
        </w:rPr>
        <w:t xml:space="preserve"> </w:t>
      </w:r>
    </w:p>
    <w:p w:rsidR="00E174C7" w:rsidRPr="00FF04F0" w:rsidRDefault="00E174C7" w:rsidP="00770998">
      <w:pPr>
        <w:pStyle w:val="PargrafodaLista"/>
        <w:tabs>
          <w:tab w:val="left" w:pos="2775"/>
        </w:tabs>
        <w:jc w:val="both"/>
        <w:rPr>
          <w:szCs w:val="24"/>
        </w:rPr>
      </w:pPr>
    </w:p>
    <w:p w:rsidR="00E174C7" w:rsidRPr="00FF04F0" w:rsidRDefault="008C2281" w:rsidP="00770998">
      <w:pPr>
        <w:pStyle w:val="PargrafodaLista"/>
        <w:numPr>
          <w:ilvl w:val="0"/>
          <w:numId w:val="3"/>
        </w:numPr>
        <w:tabs>
          <w:tab w:val="left" w:pos="2775"/>
        </w:tabs>
        <w:jc w:val="both"/>
        <w:rPr>
          <w:b/>
          <w:szCs w:val="24"/>
        </w:rPr>
      </w:pPr>
      <w:r>
        <w:rPr>
          <w:b/>
          <w:szCs w:val="24"/>
        </w:rPr>
        <w:t>“</w:t>
      </w:r>
      <w:r w:rsidR="00E174C7" w:rsidRPr="00FF04F0">
        <w:rPr>
          <w:b/>
          <w:szCs w:val="24"/>
        </w:rPr>
        <w:t xml:space="preserve">Que a empresa habilitada não teria enviado a Convenção Coletiva </w:t>
      </w:r>
      <w:r w:rsidR="005C6AB8" w:rsidRPr="00FF04F0">
        <w:rPr>
          <w:b/>
          <w:szCs w:val="24"/>
        </w:rPr>
        <w:t xml:space="preserve">de Trabalho </w:t>
      </w:r>
      <w:r w:rsidR="00E174C7" w:rsidRPr="00FF04F0">
        <w:rPr>
          <w:b/>
          <w:szCs w:val="24"/>
        </w:rPr>
        <w:t xml:space="preserve">(CCT) que seria documento principal e balizador das propostas apresentadas, e </w:t>
      </w:r>
      <w:proofErr w:type="gramStart"/>
      <w:r w:rsidR="00E174C7" w:rsidRPr="00FF04F0">
        <w:rPr>
          <w:b/>
          <w:szCs w:val="24"/>
        </w:rPr>
        <w:t>em,</w:t>
      </w:r>
      <w:proofErr w:type="gramEnd"/>
      <w:r w:rsidR="00E174C7" w:rsidRPr="00FF04F0">
        <w:rPr>
          <w:b/>
          <w:szCs w:val="24"/>
        </w:rPr>
        <w:t xml:space="preserve"> caso de homologação, não haverá qualquer base sindical, sendo fato suficiente para desclassificação da recorrida</w:t>
      </w:r>
      <w:r>
        <w:rPr>
          <w:b/>
          <w:szCs w:val="24"/>
        </w:rPr>
        <w:t>”</w:t>
      </w:r>
      <w:r w:rsidR="00E174C7" w:rsidRPr="00FF04F0">
        <w:rPr>
          <w:b/>
          <w:szCs w:val="24"/>
        </w:rPr>
        <w:t>;</w:t>
      </w:r>
    </w:p>
    <w:p w:rsidR="00E174C7" w:rsidRPr="00FF04F0" w:rsidRDefault="00E174C7" w:rsidP="00770998">
      <w:pPr>
        <w:tabs>
          <w:tab w:val="left" w:pos="2775"/>
        </w:tabs>
        <w:jc w:val="both"/>
        <w:rPr>
          <w:szCs w:val="24"/>
        </w:rPr>
      </w:pPr>
      <w:r w:rsidRPr="00FF04F0">
        <w:rPr>
          <w:szCs w:val="24"/>
        </w:rPr>
        <w:t xml:space="preserve">                    As mesmas são mencionadas e enumeradas nas planilhas apresentadas, sendo de conhecimento publico, </w:t>
      </w:r>
      <w:r w:rsidR="005C6AB8" w:rsidRPr="00FF04F0">
        <w:rPr>
          <w:szCs w:val="24"/>
        </w:rPr>
        <w:t>por meio d</w:t>
      </w:r>
      <w:r w:rsidRPr="00FF04F0">
        <w:rPr>
          <w:szCs w:val="24"/>
        </w:rPr>
        <w:t>o diário oficial da união</w:t>
      </w:r>
      <w:r w:rsidR="005C6AB8" w:rsidRPr="00FF04F0">
        <w:rPr>
          <w:szCs w:val="24"/>
        </w:rPr>
        <w:t>, de fácil conferê</w:t>
      </w:r>
      <w:r w:rsidRPr="00FF04F0">
        <w:rPr>
          <w:szCs w:val="24"/>
        </w:rPr>
        <w:t>ncia, tendo sido já devidamente conferidas pela Auditoria internas desta Fundação</w:t>
      </w:r>
      <w:r w:rsidR="005C6AB8" w:rsidRPr="00FF04F0">
        <w:rPr>
          <w:szCs w:val="24"/>
        </w:rPr>
        <w:t xml:space="preserve"> e de apresentação física não obrigatória, exceto em casos de reajustes contratuais conforme subitem </w:t>
      </w:r>
      <w:r w:rsidR="00FF04F0">
        <w:rPr>
          <w:szCs w:val="24"/>
        </w:rPr>
        <w:t>15.8.3 do edital.</w:t>
      </w:r>
    </w:p>
    <w:p w:rsidR="00E174C7" w:rsidRPr="00FF04F0" w:rsidRDefault="00E174C7" w:rsidP="00770998">
      <w:pPr>
        <w:tabs>
          <w:tab w:val="left" w:pos="2775"/>
        </w:tabs>
        <w:jc w:val="both"/>
        <w:rPr>
          <w:szCs w:val="24"/>
        </w:rPr>
      </w:pPr>
    </w:p>
    <w:p w:rsidR="00E174C7" w:rsidRPr="00FF04F0" w:rsidRDefault="008C2281" w:rsidP="00770998">
      <w:pPr>
        <w:pStyle w:val="PargrafodaLista"/>
        <w:numPr>
          <w:ilvl w:val="0"/>
          <w:numId w:val="2"/>
        </w:numPr>
        <w:tabs>
          <w:tab w:val="left" w:pos="2775"/>
        </w:tabs>
        <w:jc w:val="both"/>
        <w:rPr>
          <w:b/>
          <w:szCs w:val="24"/>
        </w:rPr>
      </w:pPr>
      <w:r>
        <w:rPr>
          <w:b/>
          <w:szCs w:val="24"/>
        </w:rPr>
        <w:t>“</w:t>
      </w:r>
      <w:r w:rsidR="00E174C7" w:rsidRPr="00FF04F0">
        <w:rPr>
          <w:b/>
          <w:szCs w:val="24"/>
        </w:rPr>
        <w:t>Que a empresa Recorrida declarou ser microempresa sendo, entretanto o faturamento bruto ultrapassa o valor legal para enquadramento</w:t>
      </w:r>
      <w:r>
        <w:rPr>
          <w:b/>
          <w:szCs w:val="24"/>
        </w:rPr>
        <w:t>”</w:t>
      </w:r>
      <w:r w:rsidR="00E174C7" w:rsidRPr="00FF04F0">
        <w:rPr>
          <w:b/>
          <w:szCs w:val="24"/>
        </w:rPr>
        <w:t>;</w:t>
      </w:r>
      <w:proofErr w:type="gramStart"/>
    </w:p>
    <w:p w:rsidR="00E174C7" w:rsidRDefault="00E174C7" w:rsidP="00770998">
      <w:pPr>
        <w:pStyle w:val="Corpodetexto"/>
        <w:rPr>
          <w:rFonts w:ascii="Times New Roman" w:hAnsi="Times New Roman"/>
          <w:szCs w:val="24"/>
        </w:rPr>
      </w:pPr>
      <w:proofErr w:type="gramEnd"/>
      <w:r w:rsidRPr="00FF04F0">
        <w:rPr>
          <w:rFonts w:ascii="Times New Roman" w:hAnsi="Times New Roman"/>
          <w:szCs w:val="24"/>
        </w:rPr>
        <w:t xml:space="preserve">                    Tal argumentação seria de fácil </w:t>
      </w:r>
      <w:r w:rsidR="008C2281">
        <w:rPr>
          <w:rFonts w:ascii="Times New Roman" w:hAnsi="Times New Roman"/>
          <w:szCs w:val="24"/>
        </w:rPr>
        <w:t>v</w:t>
      </w:r>
      <w:r w:rsidRPr="00FF04F0">
        <w:rPr>
          <w:rFonts w:ascii="Times New Roman" w:hAnsi="Times New Roman"/>
          <w:szCs w:val="24"/>
        </w:rPr>
        <w:t>erificação se a recorrente t</w:t>
      </w:r>
      <w:r w:rsidR="004D382E">
        <w:rPr>
          <w:rFonts w:ascii="Times New Roman" w:hAnsi="Times New Roman"/>
          <w:szCs w:val="24"/>
        </w:rPr>
        <w:t>ivesse observado com acuidade</w:t>
      </w:r>
      <w:r w:rsidR="00606CF1" w:rsidRPr="00606CF1">
        <w:rPr>
          <w:rFonts w:ascii="Times New Roman" w:hAnsi="Times New Roman"/>
          <w:szCs w:val="24"/>
        </w:rPr>
        <w:t xml:space="preserve"> </w:t>
      </w:r>
      <w:r w:rsidR="00606CF1">
        <w:rPr>
          <w:rFonts w:ascii="Times New Roman" w:hAnsi="Times New Roman"/>
          <w:szCs w:val="24"/>
        </w:rPr>
        <w:t>o próprio sistema SIGA</w:t>
      </w:r>
      <w:r w:rsidR="00606CF1">
        <w:rPr>
          <w:rFonts w:ascii="Times New Roman" w:hAnsi="Times New Roman"/>
          <w:szCs w:val="24"/>
        </w:rPr>
        <w:t xml:space="preserve">, bem como </w:t>
      </w:r>
      <w:r w:rsidR="005444AF">
        <w:rPr>
          <w:rFonts w:ascii="Times New Roman" w:hAnsi="Times New Roman"/>
          <w:szCs w:val="24"/>
        </w:rPr>
        <w:t>os autos do processo</w:t>
      </w:r>
      <w:r w:rsidR="008C2281">
        <w:rPr>
          <w:rFonts w:ascii="Times New Roman" w:hAnsi="Times New Roman"/>
          <w:szCs w:val="24"/>
        </w:rPr>
        <w:t>, no momento em que esta administração lhe concedeu vista</w:t>
      </w:r>
      <w:r w:rsidR="005444AF">
        <w:rPr>
          <w:rFonts w:ascii="Times New Roman" w:hAnsi="Times New Roman"/>
          <w:szCs w:val="24"/>
        </w:rPr>
        <w:t xml:space="preserve"> ao mesmo</w:t>
      </w:r>
      <w:r w:rsidR="00606CF1">
        <w:rPr>
          <w:rFonts w:ascii="Times New Roman" w:hAnsi="Times New Roman"/>
          <w:szCs w:val="24"/>
        </w:rPr>
        <w:t>.</w:t>
      </w:r>
    </w:p>
    <w:p w:rsidR="00E174C7" w:rsidRPr="00FF04F0" w:rsidRDefault="00E174C7" w:rsidP="00770998">
      <w:pPr>
        <w:pStyle w:val="Corpodetexto"/>
        <w:rPr>
          <w:rFonts w:ascii="Times New Roman" w:hAnsi="Times New Roman"/>
          <w:szCs w:val="24"/>
        </w:rPr>
      </w:pPr>
      <w:r w:rsidRPr="00FF04F0">
        <w:rPr>
          <w:rFonts w:ascii="Times New Roman" w:hAnsi="Times New Roman"/>
          <w:szCs w:val="24"/>
        </w:rPr>
        <w:tab/>
      </w:r>
      <w:r w:rsidRPr="00FF04F0">
        <w:rPr>
          <w:rFonts w:ascii="Times New Roman" w:hAnsi="Times New Roman"/>
          <w:szCs w:val="24"/>
        </w:rPr>
        <w:tab/>
        <w:t xml:space="preserve">Isto porque, se verifica </w:t>
      </w:r>
      <w:r w:rsidR="005444AF">
        <w:rPr>
          <w:rFonts w:ascii="Times New Roman" w:hAnsi="Times New Roman"/>
          <w:szCs w:val="24"/>
        </w:rPr>
        <w:t>que a empresa A</w:t>
      </w:r>
      <w:r w:rsidR="005444AF" w:rsidRPr="00FF04F0">
        <w:rPr>
          <w:rFonts w:ascii="Times New Roman" w:hAnsi="Times New Roman"/>
          <w:szCs w:val="24"/>
        </w:rPr>
        <w:t>CF DA SILVA LTDA ME</w:t>
      </w:r>
      <w:r w:rsidR="005444AF">
        <w:rPr>
          <w:rFonts w:ascii="Times New Roman" w:hAnsi="Times New Roman"/>
          <w:szCs w:val="24"/>
        </w:rPr>
        <w:t xml:space="preserve"> </w:t>
      </w:r>
      <w:r w:rsidRPr="00FF04F0">
        <w:rPr>
          <w:rFonts w:ascii="Times New Roman" w:hAnsi="Times New Roman"/>
          <w:szCs w:val="24"/>
        </w:rPr>
        <w:t>não utilizou de prerrogativa</w:t>
      </w:r>
      <w:r w:rsidR="004D382E">
        <w:rPr>
          <w:rFonts w:ascii="Times New Roman" w:hAnsi="Times New Roman"/>
          <w:szCs w:val="24"/>
        </w:rPr>
        <w:t>s concedidas à</w:t>
      </w:r>
      <w:r w:rsidR="005444AF">
        <w:rPr>
          <w:rFonts w:ascii="Times New Roman" w:hAnsi="Times New Roman"/>
          <w:szCs w:val="24"/>
        </w:rPr>
        <w:t>s micro empre</w:t>
      </w:r>
      <w:r w:rsidR="005849D9">
        <w:rPr>
          <w:rFonts w:ascii="Times New Roman" w:hAnsi="Times New Roman"/>
          <w:szCs w:val="24"/>
        </w:rPr>
        <w:t xml:space="preserve">sas, no sistema SIGA, conforme </w:t>
      </w:r>
      <w:r w:rsidR="009803CA">
        <w:rPr>
          <w:rFonts w:ascii="Times New Roman" w:hAnsi="Times New Roman"/>
          <w:szCs w:val="24"/>
        </w:rPr>
        <w:t xml:space="preserve">a própria </w:t>
      </w:r>
      <w:r w:rsidR="005849D9">
        <w:rPr>
          <w:rFonts w:ascii="Times New Roman" w:hAnsi="Times New Roman"/>
          <w:szCs w:val="24"/>
        </w:rPr>
        <w:t>tela do sistema</w:t>
      </w:r>
      <w:r w:rsidR="005444AF">
        <w:rPr>
          <w:rFonts w:ascii="Times New Roman" w:hAnsi="Times New Roman"/>
          <w:szCs w:val="24"/>
        </w:rPr>
        <w:t xml:space="preserve"> comprova</w:t>
      </w:r>
      <w:r w:rsidR="00606CF1">
        <w:rPr>
          <w:rFonts w:ascii="Times New Roman" w:hAnsi="Times New Roman"/>
          <w:szCs w:val="24"/>
        </w:rPr>
        <w:t xml:space="preserve"> e</w:t>
      </w:r>
      <w:r w:rsidR="009803CA">
        <w:rPr>
          <w:rFonts w:ascii="Times New Roman" w:hAnsi="Times New Roman"/>
          <w:szCs w:val="24"/>
        </w:rPr>
        <w:t xml:space="preserve"> não apresentou o Anexo </w:t>
      </w:r>
      <w:proofErr w:type="gramStart"/>
      <w:r w:rsidR="009803CA">
        <w:rPr>
          <w:rFonts w:ascii="Times New Roman" w:hAnsi="Times New Roman"/>
          <w:szCs w:val="24"/>
        </w:rPr>
        <w:t>6</w:t>
      </w:r>
      <w:proofErr w:type="gramEnd"/>
      <w:r w:rsidR="009803CA">
        <w:rPr>
          <w:rFonts w:ascii="Times New Roman" w:hAnsi="Times New Roman"/>
          <w:szCs w:val="24"/>
        </w:rPr>
        <w:t xml:space="preserve"> do edital referente a Declaração para Microempresa, empresa de Pequeno Porte, Empresário Individual e Cooperativas</w:t>
      </w:r>
      <w:r w:rsidR="005444AF">
        <w:rPr>
          <w:rFonts w:ascii="Times New Roman" w:hAnsi="Times New Roman"/>
          <w:szCs w:val="24"/>
        </w:rPr>
        <w:t>.</w:t>
      </w:r>
    </w:p>
    <w:p w:rsidR="00E174C7" w:rsidRPr="00FF04F0" w:rsidRDefault="005444AF" w:rsidP="00770998">
      <w:pPr>
        <w:tabs>
          <w:tab w:val="left" w:pos="2775"/>
        </w:tabs>
        <w:jc w:val="both"/>
        <w:rPr>
          <w:szCs w:val="24"/>
        </w:rPr>
      </w:pPr>
      <w:r>
        <w:rPr>
          <w:szCs w:val="24"/>
        </w:rPr>
        <w:t xml:space="preserve">              Dados os dados apresentados</w:t>
      </w:r>
      <w:r w:rsidR="00E174C7" w:rsidRPr="00FF04F0">
        <w:rPr>
          <w:szCs w:val="24"/>
        </w:rPr>
        <w:t>,</w:t>
      </w:r>
      <w:r>
        <w:rPr>
          <w:szCs w:val="24"/>
        </w:rPr>
        <w:t xml:space="preserve"> </w:t>
      </w:r>
      <w:r w:rsidR="00BF0910">
        <w:rPr>
          <w:szCs w:val="24"/>
        </w:rPr>
        <w:t xml:space="preserve">indeferimos o recurso, uma vez que </w:t>
      </w:r>
      <w:r>
        <w:rPr>
          <w:szCs w:val="24"/>
        </w:rPr>
        <w:t>é possível concluir que</w:t>
      </w:r>
      <w:r w:rsidR="00E174C7" w:rsidRPr="00FF04F0">
        <w:rPr>
          <w:szCs w:val="24"/>
        </w:rPr>
        <w:t xml:space="preserve"> </w:t>
      </w:r>
      <w:r w:rsidR="008C2281">
        <w:rPr>
          <w:szCs w:val="24"/>
        </w:rPr>
        <w:t xml:space="preserve">a habilitação da contratada foi correta e seguiu os ritos administrativos </w:t>
      </w:r>
      <w:r w:rsidR="00606CF1">
        <w:rPr>
          <w:szCs w:val="24"/>
        </w:rPr>
        <w:t>e legais cabíveis.</w:t>
      </w:r>
    </w:p>
    <w:p w:rsidR="00E174C7" w:rsidRPr="00FF04F0" w:rsidRDefault="00E174C7" w:rsidP="00770998">
      <w:pPr>
        <w:pStyle w:val="Corpodetexto"/>
        <w:rPr>
          <w:rFonts w:ascii="Times New Roman" w:hAnsi="Times New Roman"/>
          <w:szCs w:val="24"/>
        </w:rPr>
      </w:pPr>
    </w:p>
    <w:p w:rsidR="00E174C7" w:rsidRPr="00FF04F0" w:rsidRDefault="00E174C7" w:rsidP="00770998">
      <w:pPr>
        <w:jc w:val="center"/>
        <w:rPr>
          <w:b/>
          <w:szCs w:val="24"/>
        </w:rPr>
      </w:pPr>
      <w:r w:rsidRPr="00FF04F0">
        <w:rPr>
          <w:b/>
          <w:szCs w:val="24"/>
        </w:rPr>
        <w:t xml:space="preserve">Allan Borges </w:t>
      </w:r>
    </w:p>
    <w:p w:rsidR="00656F28" w:rsidRPr="005444AF" w:rsidRDefault="00E174C7" w:rsidP="00770998">
      <w:pPr>
        <w:jc w:val="center"/>
        <w:rPr>
          <w:b/>
          <w:szCs w:val="24"/>
        </w:rPr>
      </w:pPr>
      <w:r w:rsidRPr="00FF04F0">
        <w:rPr>
          <w:b/>
          <w:szCs w:val="24"/>
        </w:rPr>
        <w:t>Presidente da Fundação Leão XIII</w:t>
      </w:r>
    </w:p>
    <w:sectPr w:rsidR="00656F28" w:rsidRPr="00544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355"/>
    <w:multiLevelType w:val="hybridMultilevel"/>
    <w:tmpl w:val="50C299EA"/>
    <w:lvl w:ilvl="0" w:tplc="1D165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720F"/>
    <w:multiLevelType w:val="hybridMultilevel"/>
    <w:tmpl w:val="EFB22F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B70620"/>
    <w:multiLevelType w:val="hybridMultilevel"/>
    <w:tmpl w:val="27DCA9E4"/>
    <w:lvl w:ilvl="0" w:tplc="359C224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C7"/>
    <w:rsid w:val="00127B5B"/>
    <w:rsid w:val="0016118F"/>
    <w:rsid w:val="001A66FF"/>
    <w:rsid w:val="004D382E"/>
    <w:rsid w:val="005444AF"/>
    <w:rsid w:val="005849D9"/>
    <w:rsid w:val="005C6AB8"/>
    <w:rsid w:val="005E2C30"/>
    <w:rsid w:val="00606CF1"/>
    <w:rsid w:val="00770998"/>
    <w:rsid w:val="00793EB9"/>
    <w:rsid w:val="008C2281"/>
    <w:rsid w:val="00964323"/>
    <w:rsid w:val="009803CA"/>
    <w:rsid w:val="00996A1E"/>
    <w:rsid w:val="00BF0910"/>
    <w:rsid w:val="00C66D6D"/>
    <w:rsid w:val="00DF420E"/>
    <w:rsid w:val="00E174C7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74C7"/>
    <w:pPr>
      <w:jc w:val="both"/>
    </w:pPr>
    <w:rPr>
      <w:rFonts w:ascii="Comic Sans MS" w:hAnsi="Comic Sans MS"/>
      <w:bCs/>
    </w:rPr>
  </w:style>
  <w:style w:type="character" w:customStyle="1" w:styleId="CorpodetextoChar">
    <w:name w:val="Corpo de texto Char"/>
    <w:basedOn w:val="Fontepargpadro"/>
    <w:link w:val="Corpodetexto"/>
    <w:rsid w:val="00E174C7"/>
    <w:rPr>
      <w:rFonts w:ascii="Comic Sans MS" w:eastAsia="Times New Roman" w:hAnsi="Comic Sans MS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74C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174C7"/>
    <w:rPr>
      <w:b/>
      <w:bCs/>
    </w:rPr>
  </w:style>
  <w:style w:type="paragraph" w:styleId="NormalWeb">
    <w:name w:val="Normal (Web)"/>
    <w:basedOn w:val="Normal"/>
    <w:uiPriority w:val="99"/>
    <w:unhideWhenUsed/>
    <w:rsid w:val="00E174C7"/>
    <w:pPr>
      <w:spacing w:before="100" w:beforeAutospacing="1" w:after="100" w:afterAutospacing="1"/>
    </w:pPr>
    <w:rPr>
      <w:szCs w:val="24"/>
    </w:rPr>
  </w:style>
  <w:style w:type="paragraph" w:styleId="SemEspaamento">
    <w:name w:val="No Spacing"/>
    <w:uiPriority w:val="1"/>
    <w:qFormat/>
    <w:rsid w:val="00E1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74C7"/>
    <w:pPr>
      <w:jc w:val="both"/>
    </w:pPr>
    <w:rPr>
      <w:rFonts w:ascii="Comic Sans MS" w:hAnsi="Comic Sans MS"/>
      <w:bCs/>
    </w:rPr>
  </w:style>
  <w:style w:type="character" w:customStyle="1" w:styleId="CorpodetextoChar">
    <w:name w:val="Corpo de texto Char"/>
    <w:basedOn w:val="Fontepargpadro"/>
    <w:link w:val="Corpodetexto"/>
    <w:rsid w:val="00E174C7"/>
    <w:rPr>
      <w:rFonts w:ascii="Comic Sans MS" w:eastAsia="Times New Roman" w:hAnsi="Comic Sans MS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74C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174C7"/>
    <w:rPr>
      <w:b/>
      <w:bCs/>
    </w:rPr>
  </w:style>
  <w:style w:type="paragraph" w:styleId="NormalWeb">
    <w:name w:val="Normal (Web)"/>
    <w:basedOn w:val="Normal"/>
    <w:uiPriority w:val="99"/>
    <w:unhideWhenUsed/>
    <w:rsid w:val="00E174C7"/>
    <w:pPr>
      <w:spacing w:before="100" w:beforeAutospacing="1" w:after="100" w:afterAutospacing="1"/>
    </w:pPr>
    <w:rPr>
      <w:szCs w:val="24"/>
    </w:rPr>
  </w:style>
  <w:style w:type="paragraph" w:styleId="SemEspaamento">
    <w:name w:val="No Spacing"/>
    <w:uiPriority w:val="1"/>
    <w:qFormat/>
    <w:rsid w:val="00E1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2019-11-19T17:25:00Z</dcterms:created>
  <dcterms:modified xsi:type="dcterms:W3CDTF">2019-11-19T17:25:00Z</dcterms:modified>
</cp:coreProperties>
</file>